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3160" w14:textId="13E5D761" w:rsidR="00EB229E" w:rsidRPr="000521D5" w:rsidRDefault="00EB229E" w:rsidP="002157B1">
      <w:pPr>
        <w:jc w:val="center"/>
        <w:rPr>
          <w:rFonts w:ascii="Calibri" w:hAnsi="Calibri" w:cs="Calibri"/>
          <w:b/>
          <w:sz w:val="32"/>
          <w:szCs w:val="28"/>
        </w:rPr>
      </w:pPr>
      <w:r w:rsidRPr="000521D5">
        <w:rPr>
          <w:rFonts w:ascii="Calibri" w:hAnsi="Calibri" w:cs="Calibri"/>
          <w:b/>
          <w:sz w:val="32"/>
          <w:szCs w:val="28"/>
        </w:rPr>
        <w:t>“GOOD-TO-KNOW” INFORMATION</w:t>
      </w:r>
    </w:p>
    <w:p w14:paraId="056BCA31" w14:textId="77777777" w:rsidR="00FA661D" w:rsidRPr="003430A4" w:rsidRDefault="00FA661D" w:rsidP="00FA661D">
      <w:pPr>
        <w:ind w:left="360"/>
        <w:rPr>
          <w:rFonts w:ascii="Calibri" w:hAnsi="Calibri" w:cs="Calibri"/>
          <w:b/>
          <w:sz w:val="18"/>
          <w:szCs w:val="18"/>
          <w:u w:val="single"/>
        </w:rPr>
      </w:pPr>
      <w:r w:rsidRPr="003430A4">
        <w:rPr>
          <w:rFonts w:ascii="Calibri" w:hAnsi="Calibri" w:cs="Calibri"/>
          <w:b/>
          <w:sz w:val="18"/>
          <w:szCs w:val="18"/>
          <w:u w:val="single"/>
        </w:rPr>
        <w:t>Sending Out Information and Notifications</w:t>
      </w:r>
    </w:p>
    <w:p w14:paraId="13387466" w14:textId="77777777" w:rsidR="00FA661D" w:rsidRPr="00DE6AA2" w:rsidRDefault="00FA661D" w:rsidP="00FA661D">
      <w:pPr>
        <w:pStyle w:val="ListParagraph"/>
        <w:numPr>
          <w:ilvl w:val="1"/>
          <w:numId w:val="1"/>
        </w:numPr>
        <w:rPr>
          <w:rFonts w:ascii="Calibri" w:hAnsi="Calibri" w:cs="Calibri"/>
          <w:b/>
          <w:bCs/>
          <w:sz w:val="18"/>
          <w:szCs w:val="18"/>
        </w:rPr>
      </w:pPr>
      <w:r w:rsidRPr="00DE6AA2">
        <w:rPr>
          <w:rFonts w:ascii="Calibri" w:hAnsi="Calibri" w:cs="Calibri"/>
          <w:b/>
          <w:bCs/>
          <w:sz w:val="18"/>
          <w:szCs w:val="18"/>
        </w:rPr>
        <w:t>We will use the TJJD provided email addresses for each county as the primary means of sending out information and notifications.  It is the responsibility of each department to check this email account and forward to the appropriate person(s) as needed.</w:t>
      </w:r>
    </w:p>
    <w:p w14:paraId="77D6222D" w14:textId="7B8F95E2" w:rsidR="00FA661D" w:rsidRPr="003430A4" w:rsidRDefault="00FA661D" w:rsidP="00FA661D">
      <w:pPr>
        <w:pStyle w:val="ListParagraph"/>
        <w:numPr>
          <w:ilvl w:val="1"/>
          <w:numId w:val="1"/>
        </w:numPr>
        <w:rPr>
          <w:rFonts w:ascii="Calibri" w:hAnsi="Calibri" w:cs="Calibri"/>
          <w:sz w:val="18"/>
          <w:szCs w:val="18"/>
        </w:rPr>
      </w:pPr>
      <w:r w:rsidRPr="003430A4">
        <w:rPr>
          <w:rFonts w:ascii="Calibri" w:hAnsi="Calibri" w:cs="Calibri"/>
          <w:sz w:val="18"/>
          <w:szCs w:val="18"/>
        </w:rPr>
        <w:t>Notifications and Reminders are sent out as a courtesy, not as a requirement</w:t>
      </w:r>
      <w:r w:rsidR="00DE6AA2">
        <w:rPr>
          <w:rFonts w:ascii="Calibri" w:hAnsi="Calibri" w:cs="Calibri"/>
          <w:sz w:val="18"/>
          <w:szCs w:val="18"/>
        </w:rPr>
        <w:t xml:space="preserve"> on our part</w:t>
      </w:r>
      <w:r w:rsidRPr="003430A4">
        <w:rPr>
          <w:rFonts w:ascii="Calibri" w:hAnsi="Calibri" w:cs="Calibri"/>
          <w:sz w:val="18"/>
          <w:szCs w:val="18"/>
        </w:rPr>
        <w:t>.  Reporting submission deadlines are the responsibility of the department.</w:t>
      </w:r>
    </w:p>
    <w:p w14:paraId="0BB25787" w14:textId="69696C32" w:rsidR="00BE6D28" w:rsidRPr="003430A4" w:rsidRDefault="00FA661D" w:rsidP="00AA7AB1">
      <w:pPr>
        <w:pStyle w:val="ListParagraph"/>
        <w:numPr>
          <w:ilvl w:val="1"/>
          <w:numId w:val="1"/>
        </w:numPr>
        <w:rPr>
          <w:rFonts w:ascii="Calibri" w:hAnsi="Calibri" w:cs="Calibri"/>
          <w:sz w:val="18"/>
          <w:szCs w:val="18"/>
        </w:rPr>
      </w:pPr>
      <w:r w:rsidRPr="003430A4">
        <w:rPr>
          <w:rFonts w:ascii="Calibri" w:hAnsi="Calibri" w:cs="Calibri"/>
          <w:sz w:val="18"/>
          <w:szCs w:val="18"/>
        </w:rPr>
        <w:t>Funding may be held if reporting is delinquent.</w:t>
      </w:r>
    </w:p>
    <w:p w14:paraId="774F30A3" w14:textId="32851EBA" w:rsidR="00BE6D28" w:rsidRPr="003430A4" w:rsidRDefault="00BE6D28" w:rsidP="00BE6D28">
      <w:pPr>
        <w:ind w:left="360"/>
        <w:rPr>
          <w:rFonts w:ascii="Calibri" w:hAnsi="Calibri" w:cs="Calibri"/>
          <w:b/>
          <w:sz w:val="18"/>
          <w:szCs w:val="18"/>
          <w:u w:val="single"/>
        </w:rPr>
      </w:pPr>
      <w:r w:rsidRPr="003430A4">
        <w:rPr>
          <w:rFonts w:ascii="Calibri" w:hAnsi="Calibri" w:cs="Calibri"/>
          <w:b/>
          <w:sz w:val="18"/>
          <w:szCs w:val="18"/>
          <w:u w:val="single"/>
        </w:rPr>
        <w:t>Payments &amp; Disbursement Information</w:t>
      </w:r>
    </w:p>
    <w:p w14:paraId="6BDEE7BE" w14:textId="3342420D" w:rsidR="00BE6D28" w:rsidRPr="009B7C6F" w:rsidRDefault="00BE6D28" w:rsidP="00BE6D28">
      <w:pPr>
        <w:pStyle w:val="ListParagraph"/>
        <w:numPr>
          <w:ilvl w:val="1"/>
          <w:numId w:val="1"/>
        </w:numPr>
        <w:rPr>
          <w:rFonts w:ascii="Calibri" w:hAnsi="Calibri" w:cs="Calibri"/>
          <w:sz w:val="18"/>
          <w:szCs w:val="18"/>
        </w:rPr>
      </w:pPr>
      <w:r w:rsidRPr="009B7C6F">
        <w:rPr>
          <w:rFonts w:ascii="Calibri" w:hAnsi="Calibri" w:cs="Calibri"/>
          <w:sz w:val="18"/>
          <w:szCs w:val="18"/>
        </w:rPr>
        <w:t xml:space="preserve">Grants </w:t>
      </w:r>
      <w:r w:rsidR="003430A4" w:rsidRPr="009B7C6F">
        <w:rPr>
          <w:rFonts w:ascii="Calibri" w:hAnsi="Calibri" w:cs="Calibri"/>
          <w:sz w:val="18"/>
          <w:szCs w:val="18"/>
        </w:rPr>
        <w:t>such as DSA and</w:t>
      </w:r>
      <w:r w:rsidRPr="009B7C6F">
        <w:rPr>
          <w:rFonts w:ascii="Calibri" w:hAnsi="Calibri" w:cs="Calibri"/>
          <w:sz w:val="18"/>
          <w:szCs w:val="18"/>
        </w:rPr>
        <w:t xml:space="preserve"> State Aid are paid automatically</w:t>
      </w:r>
      <w:r w:rsidR="003430A4" w:rsidRPr="009B7C6F">
        <w:rPr>
          <w:rFonts w:ascii="Calibri" w:hAnsi="Calibri" w:cs="Calibri"/>
          <w:sz w:val="18"/>
          <w:szCs w:val="18"/>
        </w:rPr>
        <w:t xml:space="preserve"> without any additional action from the department once approved. </w:t>
      </w:r>
    </w:p>
    <w:p w14:paraId="07E917A3" w14:textId="439C97B6" w:rsidR="00BE6D28" w:rsidRPr="009B7C6F" w:rsidRDefault="003430A4" w:rsidP="00BE6D28">
      <w:pPr>
        <w:pStyle w:val="ListParagraph"/>
        <w:numPr>
          <w:ilvl w:val="1"/>
          <w:numId w:val="1"/>
        </w:numPr>
        <w:rPr>
          <w:rFonts w:ascii="Calibri" w:hAnsi="Calibri" w:cs="Calibri"/>
          <w:sz w:val="18"/>
          <w:szCs w:val="18"/>
        </w:rPr>
      </w:pPr>
      <w:r w:rsidRPr="009B7C6F">
        <w:rPr>
          <w:rFonts w:ascii="Calibri" w:hAnsi="Calibri" w:cs="Calibri"/>
          <w:sz w:val="18"/>
          <w:szCs w:val="18"/>
        </w:rPr>
        <w:t>Grant</w:t>
      </w:r>
      <w:r w:rsidR="00BE6D28" w:rsidRPr="009B7C6F">
        <w:rPr>
          <w:rFonts w:ascii="Calibri" w:hAnsi="Calibri" w:cs="Calibri"/>
          <w:sz w:val="18"/>
          <w:szCs w:val="18"/>
        </w:rPr>
        <w:t xml:space="preserve"> </w:t>
      </w:r>
      <w:r w:rsidRPr="009B7C6F">
        <w:rPr>
          <w:rFonts w:ascii="Calibri" w:hAnsi="Calibri" w:cs="Calibri"/>
          <w:sz w:val="18"/>
          <w:szCs w:val="18"/>
        </w:rPr>
        <w:t>D</w:t>
      </w:r>
      <w:r w:rsidR="00BE6D28" w:rsidRPr="009B7C6F">
        <w:rPr>
          <w:rFonts w:ascii="Calibri" w:hAnsi="Calibri" w:cs="Calibri"/>
          <w:sz w:val="18"/>
          <w:szCs w:val="18"/>
        </w:rPr>
        <w:t xml:space="preserve">isbursement </w:t>
      </w:r>
      <w:r w:rsidRPr="009B7C6F">
        <w:rPr>
          <w:rFonts w:ascii="Calibri" w:hAnsi="Calibri" w:cs="Calibri"/>
          <w:sz w:val="18"/>
          <w:szCs w:val="18"/>
        </w:rPr>
        <w:t>I</w:t>
      </w:r>
      <w:r w:rsidR="00BE6D28" w:rsidRPr="009B7C6F">
        <w:rPr>
          <w:rFonts w:ascii="Calibri" w:hAnsi="Calibri" w:cs="Calibri"/>
          <w:sz w:val="18"/>
          <w:szCs w:val="18"/>
        </w:rPr>
        <w:t xml:space="preserve">nformation </w:t>
      </w:r>
      <w:r w:rsidRPr="009B7C6F">
        <w:rPr>
          <w:rFonts w:ascii="Calibri" w:hAnsi="Calibri" w:cs="Calibri"/>
          <w:sz w:val="18"/>
          <w:szCs w:val="18"/>
        </w:rPr>
        <w:t>is available</w:t>
      </w:r>
      <w:r w:rsidR="00BE6D28" w:rsidRPr="009B7C6F">
        <w:rPr>
          <w:rFonts w:ascii="Calibri" w:hAnsi="Calibri" w:cs="Calibri"/>
          <w:sz w:val="18"/>
          <w:szCs w:val="18"/>
        </w:rPr>
        <w:t xml:space="preserve"> from the Comptroller website</w:t>
      </w:r>
      <w:r w:rsidR="009B7C6F">
        <w:rPr>
          <w:rFonts w:ascii="Calibri" w:hAnsi="Calibri" w:cs="Calibri"/>
          <w:sz w:val="18"/>
          <w:szCs w:val="18"/>
        </w:rPr>
        <w:t>.</w:t>
      </w:r>
    </w:p>
    <w:p w14:paraId="6EA368D4" w14:textId="60209AFA" w:rsidR="009B7C6F" w:rsidRDefault="009B7C6F" w:rsidP="009B7C6F">
      <w:pPr>
        <w:pStyle w:val="ListParagraph"/>
        <w:numPr>
          <w:ilvl w:val="2"/>
          <w:numId w:val="1"/>
        </w:numPr>
        <w:rPr>
          <w:rFonts w:ascii="Calibri" w:hAnsi="Calibri" w:cs="Calibri"/>
          <w:sz w:val="18"/>
          <w:szCs w:val="18"/>
        </w:rPr>
      </w:pPr>
      <w:r w:rsidRPr="009B7C6F">
        <w:rPr>
          <w:rFonts w:ascii="Calibri" w:hAnsi="Calibri" w:cs="Calibri"/>
          <w:sz w:val="18"/>
          <w:szCs w:val="18"/>
        </w:rPr>
        <w:t>Currently Fluxx is not showing payments correctly, therefore please use this website until further notice.</w:t>
      </w:r>
    </w:p>
    <w:p w14:paraId="3D8192B2" w14:textId="7593C95F" w:rsidR="00DE6AA2" w:rsidRPr="00DE6AA2" w:rsidRDefault="00DE6AA2" w:rsidP="00DE6AA2">
      <w:pPr>
        <w:pStyle w:val="ListParagraph"/>
        <w:numPr>
          <w:ilvl w:val="2"/>
          <w:numId w:val="1"/>
        </w:numPr>
        <w:rPr>
          <w:rFonts w:ascii="Calibri" w:hAnsi="Calibri" w:cs="Calibri"/>
          <w:sz w:val="18"/>
          <w:szCs w:val="18"/>
        </w:rPr>
      </w:pPr>
      <w:hyperlink r:id="rId5" w:history="1">
        <w:r w:rsidRPr="00595EAE">
          <w:rPr>
            <w:rStyle w:val="Hyperlink"/>
            <w:rFonts w:ascii="Calibri" w:hAnsi="Calibri" w:cs="Calibri"/>
            <w:sz w:val="18"/>
            <w:szCs w:val="18"/>
          </w:rPr>
          <w:t>https://www.tjjd.texas.gov/probation-services/documents/</w:t>
        </w:r>
      </w:hyperlink>
      <w:r>
        <w:rPr>
          <w:rFonts w:ascii="Calibri" w:hAnsi="Calibri" w:cs="Calibri"/>
          <w:sz w:val="18"/>
          <w:szCs w:val="18"/>
        </w:rPr>
        <w:t xml:space="preserve"> </w:t>
      </w:r>
    </w:p>
    <w:p w14:paraId="76B03A2F" w14:textId="77777777" w:rsidR="000521D5" w:rsidRPr="009B7C6F" w:rsidRDefault="000521D5" w:rsidP="000521D5">
      <w:pPr>
        <w:pStyle w:val="ListParagraph"/>
        <w:numPr>
          <w:ilvl w:val="1"/>
          <w:numId w:val="1"/>
        </w:numPr>
        <w:rPr>
          <w:rFonts w:ascii="Calibri" w:hAnsi="Calibri" w:cs="Calibri"/>
          <w:sz w:val="18"/>
          <w:szCs w:val="18"/>
        </w:rPr>
      </w:pPr>
      <w:r w:rsidRPr="009B7C6F">
        <w:rPr>
          <w:rFonts w:ascii="Calibri" w:hAnsi="Calibri" w:cs="Calibri"/>
          <w:sz w:val="18"/>
          <w:szCs w:val="18"/>
        </w:rPr>
        <w:t xml:space="preserve">Reimbursements have to be requested by departments and approved before the payments are made. </w:t>
      </w:r>
    </w:p>
    <w:p w14:paraId="7ACF6E5E" w14:textId="77777777" w:rsidR="000521D5" w:rsidRPr="009B7C6F" w:rsidRDefault="000521D5" w:rsidP="000521D5">
      <w:pPr>
        <w:pStyle w:val="ListParagraph"/>
        <w:numPr>
          <w:ilvl w:val="2"/>
          <w:numId w:val="1"/>
        </w:numPr>
        <w:rPr>
          <w:rFonts w:ascii="Calibri" w:hAnsi="Calibri" w:cs="Calibri"/>
          <w:sz w:val="18"/>
          <w:szCs w:val="18"/>
        </w:rPr>
      </w:pPr>
      <w:r w:rsidRPr="009B7C6F">
        <w:rPr>
          <w:rFonts w:ascii="Calibri" w:hAnsi="Calibri" w:cs="Calibri"/>
          <w:sz w:val="18"/>
          <w:szCs w:val="18"/>
        </w:rPr>
        <w:t xml:space="preserve">Not all departments qualify for all types of reimbursements. </w:t>
      </w:r>
    </w:p>
    <w:p w14:paraId="073F8103" w14:textId="323E9419" w:rsidR="000521D5" w:rsidRPr="009B7C6F" w:rsidRDefault="000521D5" w:rsidP="000521D5">
      <w:pPr>
        <w:pStyle w:val="ListParagraph"/>
        <w:numPr>
          <w:ilvl w:val="2"/>
          <w:numId w:val="1"/>
        </w:numPr>
        <w:rPr>
          <w:rFonts w:ascii="Calibri" w:hAnsi="Calibri" w:cs="Calibri"/>
          <w:sz w:val="18"/>
          <w:szCs w:val="18"/>
        </w:rPr>
      </w:pPr>
      <w:r w:rsidRPr="009B7C6F">
        <w:rPr>
          <w:rFonts w:ascii="Calibri" w:hAnsi="Calibri" w:cs="Calibri"/>
          <w:sz w:val="18"/>
          <w:szCs w:val="18"/>
        </w:rPr>
        <w:t>Reimbursement funding may be forfeit, if reporting is delinquent</w:t>
      </w:r>
      <w:r w:rsidR="00DE6AA2">
        <w:rPr>
          <w:rFonts w:ascii="Calibri" w:hAnsi="Calibri" w:cs="Calibri"/>
          <w:sz w:val="18"/>
          <w:szCs w:val="18"/>
        </w:rPr>
        <w:t xml:space="preserve"> (see grant requirements).</w:t>
      </w:r>
    </w:p>
    <w:p w14:paraId="0870F9D1" w14:textId="1FAECBD8" w:rsidR="003430A4" w:rsidRPr="009B7C6F" w:rsidRDefault="003430A4" w:rsidP="000521D5">
      <w:pPr>
        <w:pStyle w:val="ListParagraph"/>
        <w:numPr>
          <w:ilvl w:val="2"/>
          <w:numId w:val="1"/>
        </w:numPr>
        <w:rPr>
          <w:rFonts w:ascii="Calibri" w:hAnsi="Calibri" w:cs="Calibri"/>
          <w:sz w:val="18"/>
          <w:szCs w:val="18"/>
        </w:rPr>
      </w:pPr>
      <w:r w:rsidRPr="009B7C6F">
        <w:rPr>
          <w:rFonts w:ascii="Calibri" w:hAnsi="Calibri" w:cs="Calibri"/>
          <w:sz w:val="18"/>
          <w:szCs w:val="18"/>
        </w:rPr>
        <w:t>Reimbursement</w:t>
      </w:r>
      <w:r w:rsidR="004A7E61" w:rsidRPr="009B7C6F">
        <w:rPr>
          <w:rFonts w:ascii="Calibri" w:hAnsi="Calibri" w:cs="Calibri"/>
          <w:sz w:val="18"/>
          <w:szCs w:val="18"/>
        </w:rPr>
        <w:t xml:space="preserve"> Disbursement</w:t>
      </w:r>
      <w:r w:rsidRPr="009B7C6F">
        <w:rPr>
          <w:rFonts w:ascii="Calibri" w:hAnsi="Calibri" w:cs="Calibri"/>
          <w:sz w:val="18"/>
          <w:szCs w:val="18"/>
        </w:rPr>
        <w:t xml:space="preserve"> Information </w:t>
      </w:r>
      <w:r w:rsidR="004A7E61" w:rsidRPr="009B7C6F">
        <w:rPr>
          <w:rFonts w:ascii="Calibri" w:hAnsi="Calibri" w:cs="Calibri"/>
          <w:sz w:val="18"/>
          <w:szCs w:val="18"/>
        </w:rPr>
        <w:t xml:space="preserve">is available </w:t>
      </w:r>
      <w:r w:rsidR="00DE6AA2">
        <w:rPr>
          <w:rFonts w:ascii="Calibri" w:hAnsi="Calibri" w:cs="Calibri"/>
          <w:sz w:val="18"/>
          <w:szCs w:val="18"/>
        </w:rPr>
        <w:t>on the above listed website.</w:t>
      </w:r>
    </w:p>
    <w:p w14:paraId="6D43CFC6" w14:textId="4D494E03" w:rsidR="002E6A56" w:rsidRPr="003430A4" w:rsidRDefault="002E6A56" w:rsidP="00FA661D">
      <w:pPr>
        <w:ind w:left="360"/>
        <w:rPr>
          <w:rFonts w:ascii="Calibri" w:hAnsi="Calibri" w:cs="Calibri"/>
          <w:b/>
          <w:sz w:val="18"/>
          <w:szCs w:val="18"/>
          <w:u w:val="single"/>
        </w:rPr>
      </w:pPr>
      <w:r w:rsidRPr="003430A4">
        <w:rPr>
          <w:rFonts w:ascii="Calibri" w:hAnsi="Calibri" w:cs="Calibri"/>
          <w:b/>
          <w:sz w:val="18"/>
          <w:szCs w:val="18"/>
          <w:u w:val="single"/>
        </w:rPr>
        <w:t>Report Due Dates</w:t>
      </w:r>
    </w:p>
    <w:p w14:paraId="28667A86" w14:textId="25C44638" w:rsidR="00BE6D28" w:rsidRPr="003430A4" w:rsidRDefault="00BE6D28" w:rsidP="00A97FF2">
      <w:pPr>
        <w:pStyle w:val="ListParagraph"/>
        <w:numPr>
          <w:ilvl w:val="1"/>
          <w:numId w:val="1"/>
        </w:numPr>
        <w:rPr>
          <w:rFonts w:ascii="Calibri" w:hAnsi="Calibri" w:cs="Calibri"/>
          <w:sz w:val="18"/>
          <w:szCs w:val="18"/>
        </w:rPr>
      </w:pPr>
      <w:r w:rsidRPr="003430A4">
        <w:rPr>
          <w:rFonts w:ascii="Calibri" w:hAnsi="Calibri" w:cs="Calibri"/>
          <w:b/>
          <w:bCs/>
          <w:sz w:val="18"/>
          <w:szCs w:val="18"/>
        </w:rPr>
        <w:t>Reimbursement Reports</w:t>
      </w:r>
      <w:r w:rsidR="000521D5" w:rsidRPr="003430A4">
        <w:rPr>
          <w:rFonts w:ascii="Calibri" w:hAnsi="Calibri" w:cs="Calibri"/>
          <w:b/>
          <w:bCs/>
          <w:sz w:val="18"/>
          <w:szCs w:val="18"/>
        </w:rPr>
        <w:t xml:space="preserve"> – </w:t>
      </w:r>
      <w:r w:rsidR="000521D5" w:rsidRPr="003430A4">
        <w:rPr>
          <w:rFonts w:ascii="Calibri" w:hAnsi="Calibri" w:cs="Calibri"/>
          <w:sz w:val="18"/>
          <w:szCs w:val="18"/>
        </w:rPr>
        <w:t xml:space="preserve">submitted </w:t>
      </w:r>
      <w:r w:rsidR="003430A4" w:rsidRPr="003430A4">
        <w:rPr>
          <w:rFonts w:ascii="Calibri" w:hAnsi="Calibri" w:cs="Calibri"/>
          <w:sz w:val="18"/>
          <w:szCs w:val="18"/>
        </w:rPr>
        <w:t xml:space="preserve">on a monthly basis </w:t>
      </w:r>
      <w:r w:rsidR="000521D5" w:rsidRPr="003430A4">
        <w:rPr>
          <w:rFonts w:ascii="Calibri" w:hAnsi="Calibri" w:cs="Calibri"/>
          <w:sz w:val="18"/>
          <w:szCs w:val="18"/>
        </w:rPr>
        <w:t>in Fluxx</w:t>
      </w:r>
      <w:r w:rsidR="003430A4" w:rsidRPr="003430A4">
        <w:rPr>
          <w:rFonts w:ascii="Calibri" w:hAnsi="Calibri" w:cs="Calibri"/>
          <w:sz w:val="18"/>
          <w:szCs w:val="18"/>
        </w:rPr>
        <w:t>,</w:t>
      </w:r>
      <w:r w:rsidR="000521D5" w:rsidRPr="003430A4">
        <w:rPr>
          <w:rFonts w:ascii="Calibri" w:hAnsi="Calibri" w:cs="Calibri"/>
          <w:sz w:val="18"/>
          <w:szCs w:val="18"/>
        </w:rPr>
        <w:t xml:space="preserve"> unless otherwise stated</w:t>
      </w:r>
      <w:r w:rsidR="00DE6AA2">
        <w:rPr>
          <w:rFonts w:ascii="Calibri" w:hAnsi="Calibri" w:cs="Calibri"/>
          <w:sz w:val="18"/>
          <w:szCs w:val="18"/>
        </w:rPr>
        <w:t>.</w:t>
      </w:r>
    </w:p>
    <w:p w14:paraId="122673F3" w14:textId="4290232A" w:rsidR="00BE6D28" w:rsidRDefault="00BE6D28" w:rsidP="00BE6D28">
      <w:pPr>
        <w:pStyle w:val="ListParagraph"/>
        <w:numPr>
          <w:ilvl w:val="2"/>
          <w:numId w:val="1"/>
        </w:numPr>
        <w:rPr>
          <w:rFonts w:ascii="Calibri" w:hAnsi="Calibri" w:cs="Calibri"/>
          <w:sz w:val="18"/>
          <w:szCs w:val="18"/>
        </w:rPr>
      </w:pPr>
      <w:r w:rsidRPr="003430A4">
        <w:rPr>
          <w:rFonts w:ascii="Calibri" w:hAnsi="Calibri" w:cs="Calibri"/>
          <w:sz w:val="18"/>
          <w:szCs w:val="18"/>
        </w:rPr>
        <w:t xml:space="preserve">RDA Reimbursement Reports - </w:t>
      </w:r>
      <w:r w:rsidR="003430A4" w:rsidRPr="003430A4">
        <w:rPr>
          <w:rFonts w:ascii="Calibri" w:hAnsi="Calibri" w:cs="Calibri"/>
          <w:sz w:val="18"/>
          <w:szCs w:val="18"/>
        </w:rPr>
        <w:t xml:space="preserve">due by </w:t>
      </w:r>
      <w:r w:rsidRPr="003430A4">
        <w:rPr>
          <w:rFonts w:ascii="Calibri" w:hAnsi="Calibri" w:cs="Calibri"/>
          <w:sz w:val="18"/>
          <w:szCs w:val="18"/>
        </w:rPr>
        <w:t>10</w:t>
      </w:r>
      <w:r w:rsidRPr="003430A4">
        <w:rPr>
          <w:rFonts w:ascii="Calibri" w:hAnsi="Calibri" w:cs="Calibri"/>
          <w:sz w:val="18"/>
          <w:szCs w:val="18"/>
          <w:vertAlign w:val="superscript"/>
        </w:rPr>
        <w:t>th</w:t>
      </w:r>
      <w:r w:rsidRPr="003430A4">
        <w:rPr>
          <w:rFonts w:ascii="Calibri" w:hAnsi="Calibri" w:cs="Calibri"/>
          <w:sz w:val="18"/>
          <w:szCs w:val="18"/>
        </w:rPr>
        <w:t xml:space="preserve"> of each month</w:t>
      </w:r>
    </w:p>
    <w:p w14:paraId="2EA1C89E" w14:textId="0291D9A0" w:rsidR="00DE6AA2" w:rsidRPr="003430A4" w:rsidRDefault="00DE6AA2" w:rsidP="00DE6AA2">
      <w:pPr>
        <w:pStyle w:val="ListParagraph"/>
        <w:numPr>
          <w:ilvl w:val="3"/>
          <w:numId w:val="1"/>
        </w:numPr>
        <w:rPr>
          <w:rFonts w:ascii="Calibri" w:hAnsi="Calibri" w:cs="Calibri"/>
          <w:sz w:val="18"/>
          <w:szCs w:val="18"/>
        </w:rPr>
      </w:pPr>
      <w:r>
        <w:rPr>
          <w:rFonts w:ascii="Calibri" w:hAnsi="Calibri" w:cs="Calibri"/>
          <w:sz w:val="18"/>
          <w:szCs w:val="18"/>
        </w:rPr>
        <w:t xml:space="preserve">Reports delinquent by more than 90 days will not be paid, unless extenuating circumstances exist. </w:t>
      </w:r>
    </w:p>
    <w:p w14:paraId="2B941F95" w14:textId="0C860B2D" w:rsidR="00BE6D28" w:rsidRDefault="00BE6D28" w:rsidP="00BE6D28">
      <w:pPr>
        <w:pStyle w:val="ListParagraph"/>
        <w:numPr>
          <w:ilvl w:val="2"/>
          <w:numId w:val="1"/>
        </w:numPr>
        <w:rPr>
          <w:rFonts w:ascii="Calibri" w:hAnsi="Calibri" w:cs="Calibri"/>
          <w:sz w:val="18"/>
          <w:szCs w:val="18"/>
        </w:rPr>
      </w:pPr>
      <w:r w:rsidRPr="003430A4">
        <w:rPr>
          <w:rFonts w:ascii="Calibri" w:hAnsi="Calibri" w:cs="Calibri"/>
          <w:sz w:val="18"/>
          <w:szCs w:val="18"/>
        </w:rPr>
        <w:t xml:space="preserve">Detention Reimbursement Reports - </w:t>
      </w:r>
      <w:r w:rsidR="003430A4" w:rsidRPr="003430A4">
        <w:rPr>
          <w:rFonts w:ascii="Calibri" w:hAnsi="Calibri" w:cs="Calibri"/>
          <w:sz w:val="18"/>
          <w:szCs w:val="18"/>
        </w:rPr>
        <w:t xml:space="preserve">due by </w:t>
      </w:r>
      <w:r w:rsidRPr="003430A4">
        <w:rPr>
          <w:rFonts w:ascii="Calibri" w:hAnsi="Calibri" w:cs="Calibri"/>
          <w:sz w:val="18"/>
          <w:szCs w:val="18"/>
        </w:rPr>
        <w:t>20</w:t>
      </w:r>
      <w:r w:rsidRPr="003430A4">
        <w:rPr>
          <w:rFonts w:ascii="Calibri" w:hAnsi="Calibri" w:cs="Calibri"/>
          <w:sz w:val="18"/>
          <w:szCs w:val="18"/>
          <w:vertAlign w:val="superscript"/>
        </w:rPr>
        <w:t>th</w:t>
      </w:r>
      <w:r w:rsidRPr="003430A4">
        <w:rPr>
          <w:rFonts w:ascii="Calibri" w:hAnsi="Calibri" w:cs="Calibri"/>
          <w:sz w:val="18"/>
          <w:szCs w:val="18"/>
        </w:rPr>
        <w:t xml:space="preserve"> of each month</w:t>
      </w:r>
    </w:p>
    <w:p w14:paraId="0D6783B5" w14:textId="2929E79D" w:rsidR="00E14312" w:rsidRPr="003430A4" w:rsidRDefault="00E14312" w:rsidP="00BE6D28">
      <w:pPr>
        <w:pStyle w:val="ListParagraph"/>
        <w:numPr>
          <w:ilvl w:val="2"/>
          <w:numId w:val="1"/>
        </w:numPr>
        <w:rPr>
          <w:rFonts w:ascii="Calibri" w:hAnsi="Calibri" w:cs="Calibri"/>
          <w:sz w:val="18"/>
          <w:szCs w:val="18"/>
        </w:rPr>
      </w:pPr>
      <w:r>
        <w:rPr>
          <w:rFonts w:ascii="Calibri" w:hAnsi="Calibri" w:cs="Calibri"/>
          <w:sz w:val="18"/>
          <w:szCs w:val="18"/>
        </w:rPr>
        <w:t>Reports submitted after the deadline may result in delayed</w:t>
      </w:r>
      <w:r w:rsidR="00DE6AA2">
        <w:rPr>
          <w:rFonts w:ascii="Calibri" w:hAnsi="Calibri" w:cs="Calibri"/>
          <w:sz w:val="18"/>
          <w:szCs w:val="18"/>
        </w:rPr>
        <w:t xml:space="preserve"> or non-</w:t>
      </w:r>
      <w:r>
        <w:rPr>
          <w:rFonts w:ascii="Calibri" w:hAnsi="Calibri" w:cs="Calibri"/>
          <w:sz w:val="18"/>
          <w:szCs w:val="18"/>
        </w:rPr>
        <w:t>payment.</w:t>
      </w:r>
    </w:p>
    <w:p w14:paraId="22EEDBB3" w14:textId="3F10E886" w:rsidR="00FE3DE1" w:rsidRPr="003430A4" w:rsidRDefault="002E6A56" w:rsidP="00A97FF2">
      <w:pPr>
        <w:pStyle w:val="ListParagraph"/>
        <w:numPr>
          <w:ilvl w:val="1"/>
          <w:numId w:val="1"/>
        </w:numPr>
        <w:rPr>
          <w:rFonts w:ascii="Calibri" w:hAnsi="Calibri" w:cs="Calibri"/>
          <w:sz w:val="18"/>
          <w:szCs w:val="18"/>
        </w:rPr>
        <w:sectPr w:rsidR="00FE3DE1" w:rsidRPr="003430A4" w:rsidSect="00FE3DE1">
          <w:pgSz w:w="12240" w:h="15840"/>
          <w:pgMar w:top="720" w:right="720" w:bottom="720" w:left="720" w:header="720" w:footer="720" w:gutter="0"/>
          <w:cols w:space="720"/>
          <w:docGrid w:linePitch="360"/>
        </w:sectPr>
      </w:pPr>
      <w:r w:rsidRPr="003430A4">
        <w:rPr>
          <w:rFonts w:ascii="Calibri" w:hAnsi="Calibri" w:cs="Calibri"/>
          <w:b/>
          <w:sz w:val="18"/>
          <w:szCs w:val="18"/>
        </w:rPr>
        <w:t>Quarterly Expenditure Reporting</w:t>
      </w:r>
      <w:r w:rsidRPr="003430A4">
        <w:rPr>
          <w:rFonts w:ascii="Calibri" w:hAnsi="Calibri" w:cs="Calibri"/>
          <w:sz w:val="18"/>
          <w:szCs w:val="18"/>
        </w:rPr>
        <w:t xml:space="preserve"> – in </w:t>
      </w:r>
      <w:r w:rsidR="00E6528F" w:rsidRPr="003430A4">
        <w:rPr>
          <w:rFonts w:ascii="Calibri" w:hAnsi="Calibri" w:cs="Calibri"/>
          <w:sz w:val="18"/>
          <w:szCs w:val="18"/>
        </w:rPr>
        <w:t>Fluxx</w:t>
      </w:r>
      <w:r w:rsidR="00A97FF2" w:rsidRPr="003430A4">
        <w:rPr>
          <w:rFonts w:ascii="Calibri" w:hAnsi="Calibri" w:cs="Calibri"/>
          <w:sz w:val="18"/>
          <w:szCs w:val="18"/>
        </w:rPr>
        <w:t xml:space="preserve"> - </w:t>
      </w:r>
      <w:r w:rsidR="00DE6AA2">
        <w:rPr>
          <w:rFonts w:ascii="Calibri" w:hAnsi="Calibri" w:cs="Calibri"/>
          <w:sz w:val="18"/>
          <w:szCs w:val="18"/>
        </w:rPr>
        <w:t>D</w:t>
      </w:r>
      <w:r w:rsidR="00A97FF2" w:rsidRPr="003430A4">
        <w:rPr>
          <w:rFonts w:ascii="Calibri" w:hAnsi="Calibri" w:cs="Calibri"/>
          <w:sz w:val="18"/>
          <w:szCs w:val="18"/>
        </w:rPr>
        <w:t>ue for expenses incurred during each quarter</w:t>
      </w:r>
      <w:r w:rsidR="001420EA" w:rsidRPr="003430A4">
        <w:rPr>
          <w:rFonts w:ascii="Calibri" w:hAnsi="Calibri" w:cs="Calibri"/>
          <w:sz w:val="18"/>
          <w:szCs w:val="18"/>
        </w:rPr>
        <w:t>.</w:t>
      </w:r>
    </w:p>
    <w:p w14:paraId="406F36D9" w14:textId="2F26D5C2" w:rsidR="002E6A56" w:rsidRPr="003430A4" w:rsidRDefault="002E6A56" w:rsidP="00147945">
      <w:pPr>
        <w:pStyle w:val="ListParagraph"/>
        <w:numPr>
          <w:ilvl w:val="2"/>
          <w:numId w:val="2"/>
        </w:numPr>
        <w:rPr>
          <w:rFonts w:ascii="Calibri" w:hAnsi="Calibri" w:cs="Calibri"/>
          <w:sz w:val="18"/>
          <w:szCs w:val="18"/>
        </w:rPr>
      </w:pPr>
      <w:r w:rsidRPr="003430A4">
        <w:rPr>
          <w:rFonts w:ascii="Calibri" w:hAnsi="Calibri" w:cs="Calibri"/>
          <w:sz w:val="18"/>
          <w:szCs w:val="18"/>
        </w:rPr>
        <w:t>Q1</w:t>
      </w:r>
      <w:r w:rsidR="00DE6AA2">
        <w:rPr>
          <w:rFonts w:ascii="Calibri" w:hAnsi="Calibri" w:cs="Calibri"/>
          <w:sz w:val="18"/>
          <w:szCs w:val="18"/>
        </w:rPr>
        <w:t>:</w:t>
      </w:r>
      <w:r w:rsidRPr="003430A4">
        <w:rPr>
          <w:rFonts w:ascii="Calibri" w:hAnsi="Calibri" w:cs="Calibri"/>
          <w:sz w:val="18"/>
          <w:szCs w:val="18"/>
        </w:rPr>
        <w:t xml:space="preserve"> </w:t>
      </w:r>
      <w:r w:rsidR="00DE6AA2">
        <w:rPr>
          <w:rFonts w:ascii="Calibri" w:hAnsi="Calibri" w:cs="Calibri"/>
          <w:sz w:val="18"/>
          <w:szCs w:val="18"/>
        </w:rPr>
        <w:t>12/1 -</w:t>
      </w:r>
      <w:r w:rsidR="003430A4" w:rsidRPr="003430A4">
        <w:rPr>
          <w:rFonts w:ascii="Calibri" w:hAnsi="Calibri" w:cs="Calibri"/>
          <w:sz w:val="18"/>
          <w:szCs w:val="18"/>
        </w:rPr>
        <w:t xml:space="preserve"> </w:t>
      </w:r>
      <w:r w:rsidR="00375DB2" w:rsidRPr="003430A4">
        <w:rPr>
          <w:rFonts w:ascii="Calibri" w:hAnsi="Calibri" w:cs="Calibri"/>
          <w:sz w:val="18"/>
          <w:szCs w:val="18"/>
        </w:rPr>
        <w:t>1/15</w:t>
      </w:r>
      <w:r w:rsidR="00FE3DE1" w:rsidRPr="003430A4">
        <w:rPr>
          <w:rFonts w:ascii="Calibri" w:hAnsi="Calibri" w:cs="Calibri"/>
          <w:sz w:val="18"/>
          <w:szCs w:val="18"/>
        </w:rPr>
        <w:t xml:space="preserve"> </w:t>
      </w:r>
    </w:p>
    <w:p w14:paraId="0597EDFD" w14:textId="0FAA0F21" w:rsidR="002E6A56" w:rsidRPr="003430A4" w:rsidRDefault="002E6A56" w:rsidP="00147945">
      <w:pPr>
        <w:pStyle w:val="ListParagraph"/>
        <w:numPr>
          <w:ilvl w:val="2"/>
          <w:numId w:val="2"/>
        </w:numPr>
        <w:rPr>
          <w:rFonts w:ascii="Calibri" w:hAnsi="Calibri" w:cs="Calibri"/>
          <w:sz w:val="18"/>
          <w:szCs w:val="18"/>
        </w:rPr>
      </w:pPr>
      <w:r w:rsidRPr="003430A4">
        <w:rPr>
          <w:rFonts w:ascii="Calibri" w:hAnsi="Calibri" w:cs="Calibri"/>
          <w:sz w:val="18"/>
          <w:szCs w:val="18"/>
        </w:rPr>
        <w:t>Q2</w:t>
      </w:r>
      <w:r w:rsidR="00DE6AA2">
        <w:rPr>
          <w:rFonts w:ascii="Calibri" w:hAnsi="Calibri" w:cs="Calibri"/>
          <w:sz w:val="18"/>
          <w:szCs w:val="18"/>
        </w:rPr>
        <w:t xml:space="preserve">: </w:t>
      </w:r>
      <w:r w:rsidR="00147945">
        <w:rPr>
          <w:rFonts w:ascii="Calibri" w:hAnsi="Calibri" w:cs="Calibri"/>
          <w:sz w:val="18"/>
          <w:szCs w:val="18"/>
        </w:rPr>
        <w:t>3/1 -</w:t>
      </w:r>
      <w:r w:rsidR="003430A4" w:rsidRPr="003430A4">
        <w:rPr>
          <w:rFonts w:ascii="Calibri" w:hAnsi="Calibri" w:cs="Calibri"/>
          <w:sz w:val="18"/>
          <w:szCs w:val="18"/>
        </w:rPr>
        <w:t xml:space="preserve"> </w:t>
      </w:r>
      <w:r w:rsidRPr="003430A4">
        <w:rPr>
          <w:rFonts w:ascii="Calibri" w:hAnsi="Calibri" w:cs="Calibri"/>
          <w:sz w:val="18"/>
          <w:szCs w:val="18"/>
        </w:rPr>
        <w:t>3/31</w:t>
      </w:r>
    </w:p>
    <w:p w14:paraId="3091BD81" w14:textId="1AE4FC26" w:rsidR="002E6A56" w:rsidRPr="003430A4" w:rsidRDefault="002E6A56" w:rsidP="00147945">
      <w:pPr>
        <w:pStyle w:val="ListParagraph"/>
        <w:numPr>
          <w:ilvl w:val="1"/>
          <w:numId w:val="1"/>
        </w:numPr>
        <w:rPr>
          <w:rFonts w:ascii="Calibri" w:hAnsi="Calibri" w:cs="Calibri"/>
          <w:sz w:val="18"/>
          <w:szCs w:val="18"/>
        </w:rPr>
      </w:pPr>
      <w:r w:rsidRPr="003430A4">
        <w:rPr>
          <w:rFonts w:ascii="Calibri" w:hAnsi="Calibri" w:cs="Calibri"/>
          <w:sz w:val="18"/>
          <w:szCs w:val="18"/>
        </w:rPr>
        <w:t>Q3</w:t>
      </w:r>
      <w:r w:rsidR="00147945">
        <w:rPr>
          <w:rFonts w:ascii="Calibri" w:hAnsi="Calibri" w:cs="Calibri"/>
          <w:sz w:val="18"/>
          <w:szCs w:val="18"/>
        </w:rPr>
        <w:t xml:space="preserve">: 6/1 - </w:t>
      </w:r>
      <w:r w:rsidR="00800CEB" w:rsidRPr="003430A4">
        <w:rPr>
          <w:rFonts w:ascii="Calibri" w:hAnsi="Calibri" w:cs="Calibri"/>
          <w:sz w:val="18"/>
          <w:szCs w:val="18"/>
        </w:rPr>
        <w:t>6</w:t>
      </w:r>
      <w:r w:rsidRPr="003430A4">
        <w:rPr>
          <w:rFonts w:ascii="Calibri" w:hAnsi="Calibri" w:cs="Calibri"/>
          <w:sz w:val="18"/>
          <w:szCs w:val="18"/>
        </w:rPr>
        <w:t>/30</w:t>
      </w:r>
    </w:p>
    <w:p w14:paraId="7AE22337" w14:textId="0620560A" w:rsidR="00FA661D" w:rsidRPr="003430A4" w:rsidRDefault="002E6A56" w:rsidP="00147945">
      <w:pPr>
        <w:pStyle w:val="ListParagraph"/>
        <w:numPr>
          <w:ilvl w:val="1"/>
          <w:numId w:val="1"/>
        </w:numPr>
        <w:rPr>
          <w:rFonts w:ascii="Calibri" w:hAnsi="Calibri" w:cs="Calibri"/>
          <w:sz w:val="18"/>
          <w:szCs w:val="18"/>
        </w:rPr>
        <w:sectPr w:rsidR="00FA661D" w:rsidRPr="003430A4" w:rsidSect="00FE3DE1">
          <w:type w:val="continuous"/>
          <w:pgSz w:w="12240" w:h="15840"/>
          <w:pgMar w:top="1440" w:right="1440" w:bottom="1440" w:left="1440" w:header="720" w:footer="720" w:gutter="0"/>
          <w:cols w:num="2" w:space="720"/>
          <w:docGrid w:linePitch="360"/>
        </w:sectPr>
      </w:pPr>
      <w:r w:rsidRPr="003430A4">
        <w:rPr>
          <w:rFonts w:ascii="Calibri" w:hAnsi="Calibri" w:cs="Calibri"/>
          <w:sz w:val="18"/>
          <w:szCs w:val="18"/>
        </w:rPr>
        <w:t>Q4</w:t>
      </w:r>
      <w:r w:rsidR="00147945">
        <w:rPr>
          <w:rFonts w:ascii="Calibri" w:hAnsi="Calibri" w:cs="Calibri"/>
          <w:sz w:val="18"/>
          <w:szCs w:val="18"/>
        </w:rPr>
        <w:t xml:space="preserve">: 9/1 - </w:t>
      </w:r>
      <w:r w:rsidRPr="003430A4">
        <w:rPr>
          <w:rFonts w:ascii="Calibri" w:hAnsi="Calibri" w:cs="Calibri"/>
          <w:sz w:val="18"/>
          <w:szCs w:val="18"/>
        </w:rPr>
        <w:t>9/3</w:t>
      </w:r>
      <w:r w:rsidR="00FA661D" w:rsidRPr="003430A4">
        <w:rPr>
          <w:rFonts w:ascii="Calibri" w:hAnsi="Calibri" w:cs="Calibri"/>
          <w:sz w:val="18"/>
          <w:szCs w:val="18"/>
        </w:rPr>
        <w:t>0</w:t>
      </w:r>
    </w:p>
    <w:p w14:paraId="15D43A8A" w14:textId="39614E91" w:rsidR="00FA661D" w:rsidRPr="003430A4" w:rsidRDefault="00FA661D" w:rsidP="00147945">
      <w:pPr>
        <w:pStyle w:val="ListParagraph"/>
        <w:numPr>
          <w:ilvl w:val="8"/>
          <w:numId w:val="1"/>
        </w:numPr>
        <w:rPr>
          <w:rFonts w:ascii="Calibri" w:hAnsi="Calibri" w:cs="Calibri"/>
          <w:sz w:val="18"/>
          <w:szCs w:val="18"/>
        </w:rPr>
      </w:pPr>
      <w:r w:rsidRPr="003430A4">
        <w:rPr>
          <w:rFonts w:ascii="Calibri" w:hAnsi="Calibri" w:cs="Calibri"/>
          <w:sz w:val="18"/>
          <w:szCs w:val="18"/>
        </w:rPr>
        <w:t>Adjustment</w:t>
      </w:r>
      <w:r w:rsidR="00147945">
        <w:rPr>
          <w:rFonts w:ascii="Calibri" w:hAnsi="Calibri" w:cs="Calibri"/>
          <w:sz w:val="18"/>
          <w:szCs w:val="18"/>
        </w:rPr>
        <w:t xml:space="preserve">: 10-1 - </w:t>
      </w:r>
      <w:r w:rsidRPr="003430A4">
        <w:rPr>
          <w:rFonts w:ascii="Calibri" w:hAnsi="Calibri" w:cs="Calibri"/>
          <w:sz w:val="18"/>
          <w:szCs w:val="18"/>
        </w:rPr>
        <w:t>10/15</w:t>
      </w:r>
    </w:p>
    <w:p w14:paraId="233BF6A7" w14:textId="29367197" w:rsidR="00FE3DE1" w:rsidRPr="003430A4" w:rsidRDefault="002E6A56" w:rsidP="00FA661D">
      <w:pPr>
        <w:pStyle w:val="ListParagraph"/>
        <w:numPr>
          <w:ilvl w:val="0"/>
          <w:numId w:val="1"/>
        </w:numPr>
        <w:rPr>
          <w:rFonts w:ascii="Calibri" w:hAnsi="Calibri" w:cs="Calibri"/>
          <w:sz w:val="18"/>
          <w:szCs w:val="18"/>
        </w:rPr>
        <w:sectPr w:rsidR="00FE3DE1" w:rsidRPr="003430A4" w:rsidSect="00FE3DE1">
          <w:type w:val="continuous"/>
          <w:pgSz w:w="12240" w:h="15840"/>
          <w:pgMar w:top="1440" w:right="1440" w:bottom="1440" w:left="1440" w:header="720" w:footer="720" w:gutter="0"/>
          <w:cols w:space="720"/>
          <w:docGrid w:linePitch="360"/>
        </w:sectPr>
      </w:pPr>
      <w:r w:rsidRPr="003430A4">
        <w:rPr>
          <w:rFonts w:ascii="Calibri" w:hAnsi="Calibri" w:cs="Calibri"/>
          <w:b/>
          <w:sz w:val="18"/>
          <w:szCs w:val="18"/>
        </w:rPr>
        <w:t>End of Year Reports</w:t>
      </w:r>
      <w:r w:rsidR="00A97FF2" w:rsidRPr="003430A4">
        <w:rPr>
          <w:rFonts w:ascii="Calibri" w:hAnsi="Calibri" w:cs="Calibri"/>
          <w:sz w:val="18"/>
          <w:szCs w:val="18"/>
        </w:rPr>
        <w:t xml:space="preserve"> – Reports due based on activity throughout the year. Vary from grant to grant.</w:t>
      </w:r>
    </w:p>
    <w:p w14:paraId="4E7236A4" w14:textId="068735C7" w:rsidR="002E6A56" w:rsidRPr="003430A4" w:rsidRDefault="00E6528F" w:rsidP="002E6A56">
      <w:pPr>
        <w:pStyle w:val="ListParagraph"/>
        <w:numPr>
          <w:ilvl w:val="2"/>
          <w:numId w:val="1"/>
        </w:numPr>
        <w:rPr>
          <w:rFonts w:ascii="Calibri" w:hAnsi="Calibri" w:cs="Calibri"/>
          <w:sz w:val="18"/>
          <w:szCs w:val="18"/>
        </w:rPr>
      </w:pPr>
      <w:r w:rsidRPr="003430A4">
        <w:rPr>
          <w:rFonts w:ascii="Calibri" w:hAnsi="Calibri" w:cs="Calibri"/>
          <w:sz w:val="18"/>
          <w:szCs w:val="18"/>
        </w:rPr>
        <w:t>Assigned in Fluxx with due dates, as needed.</w:t>
      </w:r>
    </w:p>
    <w:p w14:paraId="0EA7007B" w14:textId="77777777" w:rsidR="00FE3DE1" w:rsidRPr="003430A4" w:rsidRDefault="00FE3DE1" w:rsidP="002E6A56">
      <w:pPr>
        <w:pStyle w:val="ListParagraph"/>
        <w:numPr>
          <w:ilvl w:val="1"/>
          <w:numId w:val="1"/>
        </w:numPr>
        <w:rPr>
          <w:rFonts w:ascii="Calibri" w:hAnsi="Calibri" w:cs="Calibri"/>
          <w:sz w:val="18"/>
          <w:szCs w:val="18"/>
        </w:rPr>
        <w:sectPr w:rsidR="00FE3DE1" w:rsidRPr="003430A4" w:rsidSect="00E6528F">
          <w:type w:val="continuous"/>
          <w:pgSz w:w="12240" w:h="15840"/>
          <w:pgMar w:top="1440" w:right="1440" w:bottom="1440" w:left="1440" w:header="720" w:footer="720" w:gutter="0"/>
          <w:cols w:space="720"/>
          <w:docGrid w:linePitch="360"/>
        </w:sectPr>
      </w:pPr>
    </w:p>
    <w:p w14:paraId="0CA348AB" w14:textId="5735E2D5" w:rsidR="00A97FF2" w:rsidRPr="003430A4" w:rsidRDefault="00A97FF2" w:rsidP="00A97FF2">
      <w:pPr>
        <w:pStyle w:val="ListParagraph"/>
        <w:numPr>
          <w:ilvl w:val="1"/>
          <w:numId w:val="1"/>
        </w:numPr>
        <w:rPr>
          <w:rFonts w:ascii="Calibri" w:hAnsi="Calibri" w:cs="Calibri"/>
          <w:sz w:val="18"/>
          <w:szCs w:val="18"/>
        </w:rPr>
      </w:pPr>
      <w:r w:rsidRPr="003430A4">
        <w:rPr>
          <w:rFonts w:ascii="Calibri" w:hAnsi="Calibri" w:cs="Calibri"/>
          <w:b/>
          <w:sz w:val="18"/>
          <w:szCs w:val="18"/>
        </w:rPr>
        <w:t>Refund Checks –</w:t>
      </w:r>
      <w:r w:rsidRPr="003430A4">
        <w:rPr>
          <w:rFonts w:ascii="Calibri" w:hAnsi="Calibri" w:cs="Calibri"/>
          <w:sz w:val="18"/>
          <w:szCs w:val="18"/>
        </w:rPr>
        <w:t xml:space="preserve"> Departments with a surplus of grant funds at the end of the fiscal year are expected to return those funds to TJJD. </w:t>
      </w:r>
      <w:r w:rsidR="00E2233E">
        <w:rPr>
          <w:rFonts w:ascii="Calibri" w:hAnsi="Calibri" w:cs="Calibri"/>
          <w:sz w:val="18"/>
          <w:szCs w:val="18"/>
        </w:rPr>
        <w:t>Include which grant(s) the funds are for, and how much if multiple refunds are on a single check.</w:t>
      </w:r>
    </w:p>
    <w:p w14:paraId="6F276EB5" w14:textId="5EF237BD" w:rsidR="00A97FF2" w:rsidRPr="003430A4" w:rsidRDefault="00A97FF2" w:rsidP="00A97FF2">
      <w:pPr>
        <w:pStyle w:val="ListParagraph"/>
        <w:numPr>
          <w:ilvl w:val="2"/>
          <w:numId w:val="1"/>
        </w:numPr>
        <w:rPr>
          <w:rFonts w:ascii="Calibri" w:hAnsi="Calibri" w:cs="Calibri"/>
          <w:sz w:val="18"/>
          <w:szCs w:val="18"/>
        </w:rPr>
      </w:pPr>
      <w:r w:rsidRPr="003430A4">
        <w:rPr>
          <w:rFonts w:ascii="Calibri" w:hAnsi="Calibri" w:cs="Calibri"/>
          <w:sz w:val="18"/>
          <w:szCs w:val="18"/>
        </w:rPr>
        <w:t xml:space="preserve">Due </w:t>
      </w:r>
      <w:r w:rsidR="00E14312">
        <w:rPr>
          <w:rFonts w:ascii="Calibri" w:hAnsi="Calibri" w:cs="Calibri"/>
          <w:sz w:val="18"/>
          <w:szCs w:val="18"/>
        </w:rPr>
        <w:t xml:space="preserve">in our mailbox </w:t>
      </w:r>
      <w:r w:rsidRPr="003430A4">
        <w:rPr>
          <w:rFonts w:ascii="Calibri" w:hAnsi="Calibri" w:cs="Calibri"/>
          <w:sz w:val="18"/>
          <w:szCs w:val="18"/>
        </w:rPr>
        <w:t>by 11/1</w:t>
      </w:r>
    </w:p>
    <w:p w14:paraId="75710A41" w14:textId="60083837" w:rsidR="00A97FF2" w:rsidRPr="003430A4" w:rsidRDefault="00A97FF2" w:rsidP="00BB2C11">
      <w:pPr>
        <w:pStyle w:val="ListParagraph"/>
        <w:numPr>
          <w:ilvl w:val="2"/>
          <w:numId w:val="1"/>
        </w:numPr>
        <w:rPr>
          <w:rFonts w:ascii="Calibri" w:hAnsi="Calibri" w:cs="Calibri"/>
          <w:sz w:val="18"/>
          <w:szCs w:val="18"/>
        </w:rPr>
      </w:pPr>
      <w:r w:rsidRPr="003430A4">
        <w:rPr>
          <w:rFonts w:ascii="Calibri" w:hAnsi="Calibri" w:cs="Calibri"/>
          <w:sz w:val="18"/>
          <w:szCs w:val="18"/>
        </w:rPr>
        <w:t>Texas Juvenile Justice Department</w:t>
      </w:r>
      <w:r w:rsidR="00BB2C11" w:rsidRPr="003430A4">
        <w:rPr>
          <w:rFonts w:ascii="Calibri" w:hAnsi="Calibri" w:cs="Calibri"/>
          <w:sz w:val="18"/>
          <w:szCs w:val="18"/>
        </w:rPr>
        <w:t xml:space="preserve"> </w:t>
      </w:r>
      <w:r w:rsidR="00BB2C11" w:rsidRPr="003430A4">
        <w:rPr>
          <w:rFonts w:ascii="Calibri" w:hAnsi="Calibri" w:cs="Calibri"/>
          <w:sz w:val="18"/>
          <w:szCs w:val="18"/>
        </w:rPr>
        <w:br/>
      </w:r>
      <w:r w:rsidRPr="003430A4">
        <w:rPr>
          <w:rFonts w:ascii="Calibri" w:hAnsi="Calibri" w:cs="Calibri"/>
          <w:sz w:val="18"/>
          <w:szCs w:val="18"/>
        </w:rPr>
        <w:t xml:space="preserve">Attn:  Fiscal – County Grants </w:t>
      </w:r>
      <w:r w:rsidR="00BB2C11" w:rsidRPr="003430A4">
        <w:rPr>
          <w:rFonts w:ascii="Calibri" w:hAnsi="Calibri" w:cs="Calibri"/>
          <w:sz w:val="18"/>
          <w:szCs w:val="18"/>
        </w:rPr>
        <w:br/>
      </w:r>
      <w:r w:rsidRPr="003430A4">
        <w:rPr>
          <w:rFonts w:ascii="Calibri" w:hAnsi="Calibri" w:cs="Calibri"/>
          <w:sz w:val="18"/>
          <w:szCs w:val="18"/>
        </w:rPr>
        <w:t>PO Box 12757 Austin, TX 78711</w:t>
      </w:r>
    </w:p>
    <w:p w14:paraId="2C074F16" w14:textId="7EE62075" w:rsidR="002E6A56" w:rsidRPr="003430A4" w:rsidRDefault="002E6A56" w:rsidP="002E6A56">
      <w:pPr>
        <w:pStyle w:val="ListParagraph"/>
        <w:numPr>
          <w:ilvl w:val="1"/>
          <w:numId w:val="1"/>
        </w:numPr>
        <w:rPr>
          <w:rFonts w:ascii="Calibri" w:hAnsi="Calibri" w:cs="Calibri"/>
          <w:sz w:val="18"/>
          <w:szCs w:val="18"/>
        </w:rPr>
      </w:pPr>
      <w:r w:rsidRPr="003430A4">
        <w:rPr>
          <w:rFonts w:ascii="Calibri" w:hAnsi="Calibri" w:cs="Calibri"/>
          <w:b/>
          <w:sz w:val="18"/>
          <w:szCs w:val="18"/>
        </w:rPr>
        <w:t>Certification of Local</w:t>
      </w:r>
      <w:r w:rsidR="00E6528F" w:rsidRPr="003430A4">
        <w:rPr>
          <w:rFonts w:ascii="Calibri" w:hAnsi="Calibri" w:cs="Calibri"/>
          <w:b/>
          <w:sz w:val="18"/>
          <w:szCs w:val="18"/>
        </w:rPr>
        <w:t xml:space="preserve"> Expenditures (COL)</w:t>
      </w:r>
      <w:r w:rsidRPr="003430A4">
        <w:rPr>
          <w:rFonts w:ascii="Calibri" w:hAnsi="Calibri" w:cs="Calibri"/>
          <w:sz w:val="18"/>
          <w:szCs w:val="18"/>
        </w:rPr>
        <w:t xml:space="preserve"> – </w:t>
      </w:r>
      <w:r w:rsidR="00147945">
        <w:rPr>
          <w:rFonts w:ascii="Calibri" w:hAnsi="Calibri" w:cs="Calibri"/>
          <w:sz w:val="18"/>
          <w:szCs w:val="18"/>
        </w:rPr>
        <w:t xml:space="preserve">Departments are required certify local expenses in order to comply with legal requirements regarding supplanting. </w:t>
      </w:r>
    </w:p>
    <w:p w14:paraId="2F71DA2E" w14:textId="4CE0BDC7" w:rsidR="00800CEB" w:rsidRPr="003430A4" w:rsidRDefault="00B24D89" w:rsidP="00800CEB">
      <w:pPr>
        <w:pStyle w:val="ListParagraph"/>
        <w:numPr>
          <w:ilvl w:val="2"/>
          <w:numId w:val="1"/>
        </w:numPr>
        <w:rPr>
          <w:rFonts w:ascii="Calibri" w:hAnsi="Calibri" w:cs="Calibri"/>
          <w:sz w:val="18"/>
          <w:szCs w:val="18"/>
        </w:rPr>
      </w:pPr>
      <w:r w:rsidRPr="003430A4">
        <w:rPr>
          <w:rFonts w:ascii="Calibri" w:hAnsi="Calibri" w:cs="Calibri"/>
          <w:sz w:val="18"/>
          <w:szCs w:val="18"/>
        </w:rPr>
        <w:t xml:space="preserve">If the Local Match is not met or exceeded, a </w:t>
      </w:r>
      <w:r w:rsidR="00A97FF2" w:rsidRPr="003430A4">
        <w:rPr>
          <w:rFonts w:ascii="Calibri" w:hAnsi="Calibri" w:cs="Calibri"/>
          <w:sz w:val="18"/>
          <w:szCs w:val="18"/>
        </w:rPr>
        <w:t>justification is required when submitting the certification</w:t>
      </w:r>
      <w:r w:rsidRPr="003430A4">
        <w:rPr>
          <w:rFonts w:ascii="Calibri" w:hAnsi="Calibri" w:cs="Calibri"/>
          <w:sz w:val="18"/>
          <w:szCs w:val="18"/>
        </w:rPr>
        <w:t>.</w:t>
      </w:r>
      <w:r w:rsidR="00A97FF2" w:rsidRPr="003430A4">
        <w:rPr>
          <w:rFonts w:ascii="Calibri" w:hAnsi="Calibri" w:cs="Calibri"/>
          <w:sz w:val="18"/>
          <w:szCs w:val="18"/>
        </w:rPr>
        <w:t xml:space="preserve"> </w:t>
      </w:r>
    </w:p>
    <w:p w14:paraId="3DCBF2B9" w14:textId="01D4400F" w:rsidR="002E6A56" w:rsidRDefault="00147945" w:rsidP="002E6A56">
      <w:pPr>
        <w:pStyle w:val="ListParagraph"/>
        <w:numPr>
          <w:ilvl w:val="2"/>
          <w:numId w:val="1"/>
        </w:numPr>
        <w:rPr>
          <w:rFonts w:ascii="Calibri" w:hAnsi="Calibri" w:cs="Calibri"/>
          <w:sz w:val="18"/>
          <w:szCs w:val="18"/>
        </w:rPr>
      </w:pPr>
      <w:r>
        <w:rPr>
          <w:rFonts w:ascii="Calibri" w:hAnsi="Calibri" w:cs="Calibri"/>
          <w:sz w:val="18"/>
          <w:szCs w:val="18"/>
        </w:rPr>
        <w:t>Assigned in Fluxx and due</w:t>
      </w:r>
      <w:r w:rsidR="00A97FF2" w:rsidRPr="003430A4">
        <w:rPr>
          <w:rFonts w:ascii="Calibri" w:hAnsi="Calibri" w:cs="Calibri"/>
          <w:sz w:val="18"/>
          <w:szCs w:val="18"/>
        </w:rPr>
        <w:t xml:space="preserve"> </w:t>
      </w:r>
      <w:r w:rsidR="003430A4" w:rsidRPr="003430A4">
        <w:rPr>
          <w:rFonts w:ascii="Calibri" w:hAnsi="Calibri" w:cs="Calibri"/>
          <w:sz w:val="18"/>
          <w:szCs w:val="18"/>
        </w:rPr>
        <w:t>by</w:t>
      </w:r>
      <w:r w:rsidR="00A97FF2" w:rsidRPr="003430A4">
        <w:rPr>
          <w:rFonts w:ascii="Calibri" w:hAnsi="Calibri" w:cs="Calibri"/>
          <w:sz w:val="18"/>
          <w:szCs w:val="18"/>
        </w:rPr>
        <w:t xml:space="preserve"> </w:t>
      </w:r>
      <w:r w:rsidR="002E6A56" w:rsidRPr="003430A4">
        <w:rPr>
          <w:rFonts w:ascii="Calibri" w:hAnsi="Calibri" w:cs="Calibri"/>
          <w:sz w:val="18"/>
          <w:szCs w:val="18"/>
        </w:rPr>
        <w:t>2/28</w:t>
      </w:r>
    </w:p>
    <w:p w14:paraId="28F379E0" w14:textId="77777777" w:rsidR="00147945" w:rsidRPr="00E14312" w:rsidRDefault="00147945" w:rsidP="00147945">
      <w:pPr>
        <w:pStyle w:val="ListParagraph"/>
        <w:numPr>
          <w:ilvl w:val="2"/>
          <w:numId w:val="1"/>
        </w:numPr>
        <w:rPr>
          <w:rFonts w:ascii="Calibri" w:hAnsi="Calibri" w:cs="Calibri"/>
          <w:color w:val="FF0000"/>
          <w:sz w:val="18"/>
          <w:szCs w:val="18"/>
        </w:rPr>
      </w:pPr>
      <w:r w:rsidRPr="00E14312">
        <w:rPr>
          <w:rFonts w:ascii="Calibri" w:hAnsi="Calibri" w:cs="Calibri"/>
          <w:color w:val="FF0000"/>
          <w:sz w:val="18"/>
          <w:szCs w:val="18"/>
        </w:rPr>
        <w:t>Only the Chief can submit.</w:t>
      </w:r>
    </w:p>
    <w:p w14:paraId="1EF32C3D" w14:textId="4741020A" w:rsidR="00800CEB" w:rsidRPr="003430A4" w:rsidRDefault="00800CEB" w:rsidP="00800CEB">
      <w:pPr>
        <w:pStyle w:val="ListParagraph"/>
        <w:numPr>
          <w:ilvl w:val="1"/>
          <w:numId w:val="1"/>
        </w:numPr>
        <w:rPr>
          <w:rFonts w:ascii="Calibri" w:hAnsi="Calibri" w:cs="Calibri"/>
          <w:sz w:val="18"/>
          <w:szCs w:val="18"/>
        </w:rPr>
      </w:pPr>
      <w:r w:rsidRPr="003430A4">
        <w:rPr>
          <w:rFonts w:ascii="Calibri" w:hAnsi="Calibri" w:cs="Calibri"/>
          <w:b/>
          <w:sz w:val="18"/>
          <w:szCs w:val="18"/>
        </w:rPr>
        <w:t>Independent Audit</w:t>
      </w:r>
      <w:r w:rsidR="00A97FF2" w:rsidRPr="003430A4">
        <w:rPr>
          <w:rFonts w:ascii="Calibri" w:hAnsi="Calibri" w:cs="Calibri"/>
          <w:sz w:val="18"/>
          <w:szCs w:val="18"/>
        </w:rPr>
        <w:t xml:space="preserve"> – Departments are required to have an independent audit annually, unless awarded a waiver by TJJD. Review the Audit Requirements for additional information.</w:t>
      </w:r>
    </w:p>
    <w:p w14:paraId="71F4D282" w14:textId="12D788DF" w:rsidR="00800CEB" w:rsidRPr="003430A4" w:rsidRDefault="00A97FF2" w:rsidP="00800CEB">
      <w:pPr>
        <w:pStyle w:val="ListParagraph"/>
        <w:numPr>
          <w:ilvl w:val="2"/>
          <w:numId w:val="1"/>
        </w:numPr>
        <w:rPr>
          <w:rFonts w:ascii="Calibri" w:hAnsi="Calibri" w:cs="Calibri"/>
          <w:sz w:val="18"/>
          <w:szCs w:val="18"/>
        </w:rPr>
      </w:pPr>
      <w:r w:rsidRPr="003430A4">
        <w:rPr>
          <w:rFonts w:ascii="Calibri" w:hAnsi="Calibri" w:cs="Calibri"/>
          <w:sz w:val="18"/>
          <w:szCs w:val="18"/>
        </w:rPr>
        <w:t xml:space="preserve">Due by </w:t>
      </w:r>
      <w:r w:rsidR="00800CEB" w:rsidRPr="003430A4">
        <w:rPr>
          <w:rFonts w:ascii="Calibri" w:hAnsi="Calibri" w:cs="Calibri"/>
          <w:sz w:val="18"/>
          <w:szCs w:val="18"/>
        </w:rPr>
        <w:t>3/1</w:t>
      </w:r>
    </w:p>
    <w:p w14:paraId="583CC7D3" w14:textId="45AE5529" w:rsidR="002E6A56" w:rsidRPr="003430A4" w:rsidRDefault="00A97FF2" w:rsidP="00BE6D28">
      <w:pPr>
        <w:pStyle w:val="ListParagraph"/>
        <w:numPr>
          <w:ilvl w:val="2"/>
          <w:numId w:val="1"/>
        </w:numPr>
        <w:rPr>
          <w:rFonts w:ascii="Calibri" w:hAnsi="Calibri" w:cs="Calibri"/>
          <w:sz w:val="18"/>
          <w:szCs w:val="18"/>
        </w:rPr>
      </w:pPr>
      <w:r w:rsidRPr="003430A4">
        <w:rPr>
          <w:rFonts w:ascii="Calibri" w:hAnsi="Calibri" w:cs="Calibri"/>
          <w:sz w:val="18"/>
          <w:szCs w:val="18"/>
        </w:rPr>
        <w:t>Email to: probation.independent.audits@tjjd.texas.gov</w:t>
      </w:r>
    </w:p>
    <w:sectPr w:rsidR="002E6A56" w:rsidRPr="003430A4" w:rsidSect="00A97FF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F300E"/>
    <w:multiLevelType w:val="hybridMultilevel"/>
    <w:tmpl w:val="7D9C30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3">
      <w:start w:val="1"/>
      <w:numFmt w:val="bullet"/>
      <w:lvlText w:val="o"/>
      <w:lvlJc w:val="left"/>
      <w:pPr>
        <w:ind w:left="6480" w:hanging="360"/>
      </w:pPr>
      <w:rPr>
        <w:rFonts w:ascii="Courier New" w:hAnsi="Courier New" w:cs="Courier New" w:hint="default"/>
      </w:rPr>
    </w:lvl>
  </w:abstractNum>
  <w:abstractNum w:abstractNumId="1" w15:restartNumberingAfterBreak="0">
    <w:nsid w:val="5EE95981"/>
    <w:multiLevelType w:val="hybridMultilevel"/>
    <w:tmpl w:val="F89C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3">
      <w:start w:val="1"/>
      <w:numFmt w:val="bullet"/>
      <w:lvlText w:val="o"/>
      <w:lvlJc w:val="left"/>
      <w:pPr>
        <w:ind w:left="6480" w:hanging="360"/>
      </w:pPr>
      <w:rPr>
        <w:rFonts w:ascii="Courier New" w:hAnsi="Courier New" w:cs="Courier New" w:hint="default"/>
      </w:rPr>
    </w:lvl>
  </w:abstractNum>
  <w:num w:numId="1" w16cid:durableId="980036404">
    <w:abstractNumId w:val="0"/>
  </w:num>
  <w:num w:numId="2" w16cid:durableId="139651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6"/>
    <w:rsid w:val="000361FF"/>
    <w:rsid w:val="000521D5"/>
    <w:rsid w:val="001420EA"/>
    <w:rsid w:val="00147945"/>
    <w:rsid w:val="001A3426"/>
    <w:rsid w:val="002157B1"/>
    <w:rsid w:val="0028372D"/>
    <w:rsid w:val="002E6A56"/>
    <w:rsid w:val="003430A4"/>
    <w:rsid w:val="003447DA"/>
    <w:rsid w:val="00375DB2"/>
    <w:rsid w:val="00496D14"/>
    <w:rsid w:val="004A7E61"/>
    <w:rsid w:val="00556B11"/>
    <w:rsid w:val="00603D07"/>
    <w:rsid w:val="00657B71"/>
    <w:rsid w:val="00780E28"/>
    <w:rsid w:val="0079215E"/>
    <w:rsid w:val="00793238"/>
    <w:rsid w:val="007D1FC1"/>
    <w:rsid w:val="007F6456"/>
    <w:rsid w:val="00800CEB"/>
    <w:rsid w:val="00990BCE"/>
    <w:rsid w:val="009B7C6F"/>
    <w:rsid w:val="00A97FF2"/>
    <w:rsid w:val="00B13A80"/>
    <w:rsid w:val="00B24D89"/>
    <w:rsid w:val="00B63AE4"/>
    <w:rsid w:val="00BB2C11"/>
    <w:rsid w:val="00BE6D28"/>
    <w:rsid w:val="00C66EAC"/>
    <w:rsid w:val="00DD74D4"/>
    <w:rsid w:val="00DE6AA2"/>
    <w:rsid w:val="00E14312"/>
    <w:rsid w:val="00E2233E"/>
    <w:rsid w:val="00E6528F"/>
    <w:rsid w:val="00EB229E"/>
    <w:rsid w:val="00EF7959"/>
    <w:rsid w:val="00FA661D"/>
    <w:rsid w:val="00FE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F7D7"/>
  <w15:docId w15:val="{185BA0F9-F2F5-4172-9FDF-27F477C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26"/>
    <w:pPr>
      <w:ind w:left="720"/>
      <w:contextualSpacing/>
    </w:pPr>
  </w:style>
  <w:style w:type="paragraph" w:customStyle="1" w:styleId="xxmsonormal">
    <w:name w:val="x_xmsonormal"/>
    <w:basedOn w:val="Normal"/>
    <w:rsid w:val="00E6528F"/>
    <w:pPr>
      <w:spacing w:after="0" w:line="240" w:lineRule="auto"/>
    </w:pPr>
    <w:rPr>
      <w:rFonts w:ascii="Calibri" w:hAnsi="Calibri" w:cs="Calibri"/>
    </w:rPr>
  </w:style>
  <w:style w:type="character" w:styleId="Hyperlink">
    <w:name w:val="Hyperlink"/>
    <w:basedOn w:val="DefaultParagraphFont"/>
    <w:uiPriority w:val="99"/>
    <w:unhideWhenUsed/>
    <w:rsid w:val="00BE6D28"/>
    <w:rPr>
      <w:color w:val="0563C1"/>
      <w:u w:val="single"/>
    </w:rPr>
  </w:style>
  <w:style w:type="character" w:styleId="UnresolvedMention">
    <w:name w:val="Unresolved Mention"/>
    <w:basedOn w:val="DefaultParagraphFont"/>
    <w:uiPriority w:val="99"/>
    <w:semiHidden/>
    <w:unhideWhenUsed/>
    <w:rsid w:val="009B7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751">
      <w:bodyDiv w:val="1"/>
      <w:marLeft w:val="0"/>
      <w:marRight w:val="0"/>
      <w:marTop w:val="0"/>
      <w:marBottom w:val="0"/>
      <w:divBdr>
        <w:top w:val="none" w:sz="0" w:space="0" w:color="auto"/>
        <w:left w:val="none" w:sz="0" w:space="0" w:color="auto"/>
        <w:bottom w:val="none" w:sz="0" w:space="0" w:color="auto"/>
        <w:right w:val="none" w:sz="0" w:space="0" w:color="auto"/>
      </w:divBdr>
    </w:div>
    <w:div w:id="1476946684">
      <w:bodyDiv w:val="1"/>
      <w:marLeft w:val="0"/>
      <w:marRight w:val="0"/>
      <w:marTop w:val="0"/>
      <w:marBottom w:val="0"/>
      <w:divBdr>
        <w:top w:val="none" w:sz="0" w:space="0" w:color="auto"/>
        <w:left w:val="none" w:sz="0" w:space="0" w:color="auto"/>
        <w:bottom w:val="none" w:sz="0" w:space="0" w:color="auto"/>
        <w:right w:val="none" w:sz="0" w:space="0" w:color="auto"/>
      </w:divBdr>
    </w:div>
    <w:div w:id="21034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jjd.texas.gov/probation-services/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Texas Juvenile Probation Commission</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Gonzalez</dc:creator>
  <cp:lastModifiedBy>Carter, William</cp:lastModifiedBy>
  <cp:revision>2</cp:revision>
  <dcterms:created xsi:type="dcterms:W3CDTF">2025-07-18T14:35:00Z</dcterms:created>
  <dcterms:modified xsi:type="dcterms:W3CDTF">2025-07-18T14:35:00Z</dcterms:modified>
</cp:coreProperties>
</file>